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49" w:rsidRPr="004D1E49" w:rsidRDefault="004D1E49" w:rsidP="004D1E49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</w:pPr>
      <w:r w:rsidRPr="004D1E49"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  <w:t xml:space="preserve">Штудии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</w:pPr>
      <w:proofErr w:type="spellStart"/>
      <w:r w:rsidRPr="004D1E49">
        <w:rPr>
          <w:rFonts w:ascii="Verdana" w:eastAsia="Times New Roman" w:hAnsi="Verdana" w:cs="Times New Roman"/>
          <w:b/>
          <w:bCs/>
          <w:color w:val="406CE3"/>
          <w:sz w:val="28"/>
          <w:szCs w:val="28"/>
          <w:lang w:eastAsia="ru-RU"/>
        </w:rPr>
        <w:t>Штудии</w:t>
      </w:r>
      <w:proofErr w:type="spellEnd"/>
    </w:p>
    <w:p w:rsidR="004D1E49" w:rsidRPr="004D1E49" w:rsidRDefault="004D1E49" w:rsidP="004D1E49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Лев СОБОЛЕВ</w:t>
      </w:r>
    </w:p>
    <w:p w:rsidR="004D1E49" w:rsidRPr="004D1E49" w:rsidRDefault="004D1E49" w:rsidP="004D1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E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5pt;height:.4pt" o:hrpct="0" o:hrstd="t" o:hrnoshade="t" o:hr="t" fillcolor="#0f20bb" stroked="f"/>
        </w:pic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406CE3"/>
          <w:kern w:val="36"/>
          <w:sz w:val="40"/>
          <w:szCs w:val="40"/>
          <w:lang w:eastAsia="ru-RU"/>
        </w:rPr>
        <w:t>О жанре «Войны и мира»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60595" cy="3220085"/>
            <wp:effectExtent l="19050" t="0" r="1905" b="0"/>
            <wp:docPr id="2" name="Рисунок 2" descr="Репродукция с панорамы Франца Рубо  «Бородинская битв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продукция с панорамы Франца Рубо  «Бородинская битва»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49" w:rsidRPr="004D1E49" w:rsidRDefault="004D1E49" w:rsidP="004D1E49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006AD5"/>
          <w:sz w:val="20"/>
          <w:szCs w:val="20"/>
          <w:lang w:eastAsia="ru-RU"/>
        </w:rPr>
        <w:t>Проблема жанровой формы «Войны и мира», а в связи с этим и жанровой традиции, которая с «Войной и миром» связана, — одна из сложнейших в академическом литературоведении. Естественно, в школьном преподавании словесник также испытывает здесь значительные трудности. Сегодня свои подходы в работе с вечной книгой предлагает опытнейший учитель литературы, наш постоянный автор Лев Иосифович Соболев.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006AD5"/>
          <w:sz w:val="20"/>
          <w:szCs w:val="20"/>
          <w:lang w:eastAsia="ru-RU"/>
        </w:rPr>
        <w:t xml:space="preserve">Печатаем главу из его исследования — предназначенного для школьников, педагогов, студентов путеводителя по «Войне и </w:t>
      </w:r>
      <w:proofErr w:type="gramStart"/>
      <w:r w:rsidRPr="004D1E49">
        <w:rPr>
          <w:rFonts w:ascii="Verdana" w:eastAsia="Times New Roman" w:hAnsi="Verdana" w:cs="Times New Roman"/>
          <w:b/>
          <w:bCs/>
          <w:color w:val="006AD5"/>
          <w:sz w:val="20"/>
          <w:szCs w:val="20"/>
          <w:lang w:eastAsia="ru-RU"/>
        </w:rPr>
        <w:t>мире</w:t>
      </w:r>
      <w:proofErr w:type="gramEnd"/>
      <w:r w:rsidRPr="004D1E49">
        <w:rPr>
          <w:rFonts w:ascii="Verdana" w:eastAsia="Times New Roman" w:hAnsi="Verdana" w:cs="Times New Roman"/>
          <w:b/>
          <w:bCs/>
          <w:color w:val="006AD5"/>
          <w:sz w:val="20"/>
          <w:szCs w:val="20"/>
          <w:lang w:eastAsia="ru-RU"/>
        </w:rPr>
        <w:t>», который готовится к выпуску в новой серии «Медленное чтение» Издательства МГУ.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6AD5"/>
          <w:sz w:val="48"/>
          <w:szCs w:val="48"/>
          <w:lang w:eastAsia="ru-RU"/>
        </w:rPr>
        <w:t>Н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апомним: жанр — исторически сложившийся, устойчивый, повторяющийся тип произведения; по выражению М.М. Бахтина, жанр — память литературы. Мы без труда понимаем различия между стихотворениями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Тибулла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Батюшкова и, например,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Кибирова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труднее понять, что у всех трёх поэтов мы читаем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элегии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то есть в их стихах мы встречаем сожаления об утратах, грусть по поводу невозвратимых радостей или тоску неразделённой любви. Но именно эти мотивы и делают элегию элегией, именно они напоминают о непрерывности поэтического движения, о “блуждающих снах чужих певцов” — “блаженном наследстве”, оставленном поэтам и читателям.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30 сентября 1865 года Толстой записывает в Дневнике: “Есть поэзия романиста &lt;...&gt; в картине нравов, построенных на историческом событии — Одиссея, Илиада, 1805 год”. Обратим внимание на тот ряд, в который попадает толстовское сочинение («Тысяча 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восемьсот пятый год»): это две гомеровские поэмы, самый бесспорный пример жанра эпопеи.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Известна горьковская запись признания Толстого о «Войне и мире»: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“Без ложной скромности — это как «Илиада»”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Горький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16.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294].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1983 году в журнале «</w:t>
      </w:r>
      <w:proofErr w:type="spellStart"/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omparative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Literature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 [Т. 35. № 2] была напечатана статья «Толстой и Гомер» (авторы F.T.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Griffiths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S.J. </w:t>
      </w:r>
      <w:proofErr w:type="spellStart"/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Rabinowitz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bookmarkStart w:id="0" w:name="1"/>
      <w:bookmarkEnd w:id="0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"http://lit.1september.ru/2007/04/15.htm" \l "1a" </w:instrTex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D1E49">
        <w:rPr>
          <w:rFonts w:ascii="Verdana" w:eastAsia="Times New Roman" w:hAnsi="Verdana" w:cs="Times New Roman"/>
          <w:color w:val="6F3F01"/>
          <w:sz w:val="20"/>
          <w:szCs w:val="20"/>
          <w:u w:val="single"/>
          <w:vertAlign w:val="superscript"/>
          <w:lang w:eastAsia="ru-RU"/>
        </w:rPr>
        <w:t>1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статье есть несколько интересных сопоставлений: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Андрей — ратник, как Ахилл; с преобладания князя Андрея, как считают авторы, начинается книга Толстого, потом интерес переносится на Пьера (соответствует Одиссею, главная цель которого — возвращение домой); потом, на последних страницах первой части Эпилога, сон Николеньки Болконского возвращает нас к началу книги — опять центр интереса переносится на ратника (будущего) — сына князя Андрея.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Семь лет Пьера с соблазнительницей Еленой соответствуют семи годам, которые Одиссей провёл в плену (сначала добровольном, потом, как Пьер, не по своему желанию) у Калипсо. И даже то, что Одиссей надевает рубище нищего, чтобы неузнанным вернуться на Итаку, находит соответствия в переодевании Пьера в простонародную одежду (когда герой остаётся в Москве с целью убить Наполеона). К сожалению, авторы не учитывают важной работы Г.Д.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Гачева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«Содержательность художественных форм» [М., 1968], где есть существенные сопоставления «Войны и мира» с «Илиадой».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4D1E49">
        <w:rPr>
          <w:rFonts w:ascii="Verdana" w:eastAsia="Times New Roman" w:hAnsi="Verdana" w:cs="Times New Roman"/>
          <w:color w:val="006AD5"/>
          <w:sz w:val="48"/>
          <w:szCs w:val="48"/>
          <w:lang w:eastAsia="ru-RU"/>
        </w:rPr>
        <w:t>T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олстой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как пишет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“конечно, не задавался целью писать эпопею. Напротив, он всячески отмежёвывал свой труд ото всех привычных жанров...”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117].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марте 1868 года в «Русском архиве» у Бартенева Толстой печатает статью «Несколько слов по поводу книги “Война и мир”», в которой заявляет: “Что такое «Война и мир»? Это не роман, ещё менее поэма, ещё менее историческая хроника. «Война и мир» есть то, что хотел и мог выразить автор в той форме, в которой оно выразилось”. В подтверждение жанровой уникальности своей книги автор ссылается на особенность русской литературы вообще: “История русской литературы со времени Пушкина не только представляет много примеров такого отступления от европейской формы, но не даёт даже ни одного примера противного. Начиная от «Мёртвых душ» Гоголя и до «Мёртвого Дома» Достоевского, в новом периоде русской литературы нет ни одного художественного прозаического произведения, немного выходящего из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посредственности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которое бы вполне укладывалось в форму романа, поэмы или повести”.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мне кажется, ключ к жанровому своеобразию «Войны и мира» следует искать в черновом предисловии к книге: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“…между теми полуисторическими, полуобщественными, 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полувозвышенными</w:t>
      </w:r>
      <w:proofErr w:type="spellEnd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 великими характерными лицами великой эпохи личность моего героя отступила на задний план, а на первый план стали, с равным интересом для меня, и молодые и старые люди, и мужчины, и женщины того времени” 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ПСС–90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13.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55]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Толстой перестал писать книгу об одном герое (или двух, трёх) — и “старался писать историю народа”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ПСС–90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Т. 15.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241].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 Дневнике появляется запись: “Эпический род мне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становится один естествен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[1863, 3 января].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статье «Эпос и роман» М.М. Бахтин характеризует жанр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эпопеи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тремя чертами: “1) предметом эпопеи служит национальное эпическое прошлое, «абсолютное прошлое», по терминологии Гёте и Шиллера; 2) источником эпопеи служит национальное предание (а не личный опыт и вырастающий на его основе свободный вымысел);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эпический мир отделён от современности, то есть от времени певца (автора и его слушателей), абсолютной эпической дистанцией”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204].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“эпос”, как известно, многозначно: эпос — род литературы (наряду с лирикой и драмой); эпос — эпический жанр, эпопея (здесь это понятие противопоставлено не лирике или драме, а роману и повести).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Посмотрим, насколько «Война и мир» отвечает признакам эпопеи, как их определяет Бахтин (в книге «Проблемы поэтики Достоевского» Бахтин замечает, что применение к «Войне и миру» термина “эпопея” стало привычным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Бахтин–1979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158–159]).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Начнём с “национального эпического прошлого”, “героического прошлого”, как пишет Бахтин. Едва ли нужно доказывать, что 1812 год, “когда &lt;...&gt; мы отшлёпали Наполеона I” [«Декабристы»], и стал для Толстого таким “героическим прошлым”. Более того, тема Толстого — народ перед лицом опасности, когда решается вопрос, быть ему или не быть. Толстой выбирает кульминационный момент в жизни “роя” (или постепенно приходит к нему);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почему 1825 год не мог стать предметом эпопеи, а 1812-й (как и пореформенное время в «Кому на Руси жить хорошо», революция и Гражданская война в «Тихом Доне» и в «Красном колесе») — стал. 1812 год затронул глубинные основы бытия — но, как уже замечено, и 1860-е годы, время писания «Войны и мира», были таким особенным временем — когда, по слову Константина Лёвина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“всё переворотилось и только укладывается”.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писал о двух формах (способах) объединения людей — народе и государстве. Именно их отношения и рождают эпопейную ситуацию: таковую он видит в «Илиаде» (Ахилл против Агамемнона) и в «Войне и мире» (Кутузов против Александра). В кризисной ситуации государство должно ощутить “свою полную зависимость от естественного течения жизни и естественного общежития. Государство должно встать в зависимость от народа, его свободной воли: &lt;...&gt; даст ли он своё согласие, доверие, забудет ли распри и возьмёт ли в руки «божье» оружие — щит Ахилла или первую попавшуюся дубину?”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83].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рассуждение подтверждается, между прочим, чтением толстовских источников — в частности, историй Отечественной войны, написанных А.И. Михайловским-Данилевским и М.И. Богдановичем. Главный герой этих описаний — Александр I, что, конечно, понятно и не нуждается в объяснениях; как выглядит Александр у Толстого — отдельная тема,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всяком случае не его воля или характер, или твёрдость, или великодушие определяют ход войны.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Кутузов, как Ахилл, был призван, чтобы спасти государство, которым он был оскорблён, “находился в отставке и немилости”; призван “не приказом власти, а волею народной” 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119].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Именно толстовский Кутузов, как подлинный человек эпопеи, “сплошь завершён и закончен”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225]; едва ли нужно оговаривать, что реальный Кутузов мог быть (и, по-видимому, был) совсем другим и что кроме Кутузова в «Войне и мире» есть множество героев вовсе не завершённых и не законченных.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6AD5"/>
          <w:sz w:val="48"/>
          <w:szCs w:val="48"/>
          <w:lang w:eastAsia="ru-RU"/>
        </w:rPr>
        <w:t>П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онятно, что Толстой не мог и не собирался написать эпопею, подобную «Илиаде», — всё-таки между ними пролегло двадцать семь веков.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и отношение к “национальному преданию” (второе условие эпопеи, по Бахтину) не было и не могло быть таким, как во времена Гомера или Вергилия (“благоговейная установка потомка”, называет это Бахтин [С. 204]); субститут национального предания, исторические описания, третируются Толстым и оспариваются именно как ложные, но претендующие на истинность жалкие продукты позитивной науки (ср.: “предание о прошлом священно”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206]). 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Зато эпическая дистанция — третья черта эпопеи, как её описывает Бахтин, — отчётливо обнаруживается в цитированном уже предисловии Толстого: от 1856 года (современности) к 1825-му; затем — к 1812 году и далее — к 1805 году, когда характер народа должен был обнаружиться в эпоху “наших неудач и нашего срама”. Почему Толстой не довёл своё повествование не только до 1856 года (как собирался), но даже до 1825-го? Эпическое время — это не столько конкретное событие, сколько время бытия вообще; это не столько “тогда-то”, сколько — “всегда”.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Временные границы эпоса всегда размыты — “эпопея равнодушна к формальному началу, — пишет Бахтин, — поэтому любую часть можно оформить и подать как целое”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223]. 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Признаком эпопеи является и необычайная широта охвата: речь не только о количестве персонажей, хотя массовые сцены в «Войне и мире» не похожи ни на что подобное в предшествующей литературе; скорее следует говорить об универсальности эпопеи, о её стремлении охватить максимальное пространство — с этим связано и множество “сценических площадок” книги: Петербург, Москва,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Браунау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Отрадное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Лысые Горы, Можайск, Смоленск...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этом для эпопеи нет главного и второстепенного — нет иерархии; как ребёнку, эпопее интересны все и всё: и фрейлина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Перонская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(автор считает нужным сообщить нам, что её “старое, некрасивое тело” было так же “надушено, вымыто, напудрено” и так же “старательно промыто за ушами”, как у Ростовых [Т. 2.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Ч. 3.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Гл. XIV]), и военный врач, “в окровавленном фартуке и с окровавленными небольшими руками, в одной из которых он между мизинцем и большим пальцем (чтобы не запачкать её) держал сигару” [Т. 3.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Ч. 2. Гл. XXXVII], и то, что у есаула из отряда Денисова “узкие светлые глаза”, которые он постоянно “суживает” или “щурит” [Т. 4. Ч. 3.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Гл. VI, VIII].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Важно не только то, что «Война и мир» не сосредоточена на одном герое — в этой книге вообще весьма условным кажется само деление героев на главных и второстепенных; важнее другое — стремление передать полноту бытия, когда каждая деталь (“и чем случайней, тем вернее”) предстаёт частью неисчерпаемого целого — человеческого бытия.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 же справедливо и для отдельного эпизода; как точно заметил Бочаров, эпизод “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задерживает 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ход действия и привлекает наше внимание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сам по себе, 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одно из бесчисленных проявлений жизни, которую учит любить нас Толстой”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Бочаров–1963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19].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Именно поэтому, наверное, “отдельными яркими кадрами встаёт в нашей памяти эта книга”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], что в «Войне и мире» нет романной подчинённости каждого эпизода раскрытию характера отдельного героя или раскрытию идеи; то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“сцепление мыслей”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 котором писал Толстой Н.Н. Страхову, или “сопряжение” (помните, в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можайском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сне Пьера — “сопрягать надо”?) всего со всем свойственно именно эпопее.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6AD5"/>
          <w:sz w:val="48"/>
          <w:szCs w:val="48"/>
          <w:lang w:eastAsia="ru-RU"/>
        </w:rPr>
        <w:t>К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нига начинается с появления Пьера — молодого человека без семьи; его поиски — в том числе и поиск истинной семьи — составят один из сюжетов «Войны и мира»; книга заканчивается сном Николеньки Болконского, сироты; его мечтания — это возможность продолжения книги; собственно, она и не кончается, как не кончается жизнь. И, наверное, появление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сне Николеньки его отца, князя Андрея, тоже принципиально: книга Толстого написана о том, что смерти нет — помните, после смерти князя Андрея Толстой даёт в кавычках, то есть как мысли Наташи Ростовой, вопросы: “Куда он ушёл? Где он теперь?..” Так выражена в композиции «Войны и мира» философия этой книги: утверждение вечного обновления жизни, того “общего закона”, который вдохновлял позднюю лирику Пушкина.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Толстой не мог не учесть опыта предшествующего европейского и русского романа — и изощрённый психологический анализ для многих читателей составляет наиболее важную сторону его книги.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«Войне и мире» “соединены в одно органическое целое (говоря словами Пушкина) «судьба человеческая» (романное начало) и «судьба народная» (начало эпическое)” 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Лесскис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399].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Новое жанровое наименование обосновано А.В. Чичериным в книге «Возникновение романа-эпопеи» [Харьков. 1958; 2-е изд.: М., 1975].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Оно вызывало и вызывает несогласия (скажем, Г.А.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Лесскис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предлагал считать «Войну и мир» идиллией 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Лесскис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С. 399], а Б.М. Эйхенбаум видел в книге черты “древнего сказания или летописи”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Эйхенбаум–1969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378] </w:t>
      </w:r>
      <w:bookmarkStart w:id="1" w:name="2"/>
      <w:bookmarkEnd w:id="1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"http://lit.1september.ru/2007/04/15.htm" \l "2a" </w:instrTex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D1E49">
        <w:rPr>
          <w:rFonts w:ascii="Verdana" w:eastAsia="Times New Roman" w:hAnsi="Verdana" w:cs="Times New Roman"/>
          <w:color w:val="6F3F01"/>
          <w:sz w:val="20"/>
          <w:szCs w:val="20"/>
          <w:u w:val="single"/>
          <w:vertAlign w:val="superscript"/>
          <w:lang w:eastAsia="ru-RU"/>
        </w:rPr>
        <w:t>2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но если понимать его не как “чисто оценочное, похвальное, ничего кроме «эпической широты» охвата отражённых общественно-исторических явлений не выражающее”, как характеризовала Е.Н. Куприянова этот термин Чичерина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Куприянова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161], а как именование эпопеи, включающей в себя несколько романных линий, он вполне может работать.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Существенно при этом, что в толстовской книге роман может вступать в конфликт с эпопеей: так, князь Андрей с его честолюбивыми мечтами перед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Аустерлицким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сражением, готовый пожертвовать самыми близкими людьми за мгновение славы, слышит, как кучер дразнит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кутузовского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повара по имени Тит: “«Тит, а Тит?». — Ну, — отвечал старик. — Тит, ступай молотить”. “Низкая действительность” здесь явно противостоит высоким мечтам героя — но именно она и оказывается права; это, пожалуй, голос самой эпопеи, самой жизни, которая (в виде высокого неба) вскоре обнаружит ложь наполеоновских мечтаний романного героя.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Приведу глубокую и, на мой взгляд, очень важную мысль Бахтина: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“Романизация литературы вовсе не есть навязывание другим жанрам несвойственного им чужого жанрового канона. Ведь такого канона у романа вовсе и нет &lt;...&gt;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романизация других жанров не есть их подчинение чуждым жанровым канонам; напротив, это и есть их освобождение от всего того условного, омертвевшего, ходульного и нежизненного, что тормозит их собственное развитие, от всего того, что превращает их рядом с романом в какие-то стилизации отживших форм”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С. 231]. 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 случайно ведь в «Войне и мире» находим такое рассуждение Толстого: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“Древние оставили нам образцы героических поэм, в которых герои составляют весь интерес истории, и мы всё ещё не можем привыкнуть к тому, что для нашего человеческого времени история такого рода не имеет смысла” [Т. 3.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Ч. 2.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Гл. XIX]. 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хотя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остроумно сближает «Войну и мир» с «Илиадой» — довольно убедительно сравнивает поведение Николая Ростова во время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богучаровского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бунта с тем, как Одиссей расправляется с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Терситом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а потом тому же Одиссею, пренебрегающему софистикой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Терсита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уподобляет Кутузова на совете в Филях: “властью, силой, знающей своё право волей — Кутузов и Одиссей решают ситуацию” [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129–136], воскресить «Илиаду» во всей её полноте и простоте не под силу даже Толстому.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Жанр — точка зрения на мир; едва ли возможно в XIX веке нашей эры смотреть на мир так, как его видели в VIII веке до нашей эры.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6AD5"/>
          <w:sz w:val="48"/>
          <w:szCs w:val="48"/>
          <w:lang w:eastAsia="ru-RU"/>
        </w:rPr>
        <w:t>С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овременники почувствовали жанровую непривычность «Войны и мира» и, за немногими исключениями, не приняли её. П.В. Анненков в сочувственной, в общем, статье «Исторические и эстетические вопросы в романе гр. Л.Н. Толстого “Война и мир”», перечислив множество восхищающих его эпизодов, спрашивает: “не великолепное ли зрелище всё это, в самом деле, от начала и до конца?”, — но тут же и замечает: “Да, но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покуда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оно происходило, роман, в прямом значении слова, не двигался с места, или, если двигался, то с неимоверной апатией и медленностью”.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“Да где же он сам, роман этот, куда он девал своё настоящее дело — развитие частного происшествия, свою «фабулу» и «интригу», потому что без них, чем бы роман ни занимался, он всё будет казаться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праздным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романом, которому чужды его собственные и настоящие интересы”, — пишет критик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Анненков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44–45].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привести множество примеров неприятия критиками (а значит, и читателями) жанровых особенностей толстовской книги: “Мы называем сочинение графа Л.Н. Толстого романом только для того, чтоб дать ему какое-нибудь имя; но «Война и мир», в строгом смысле слова, не роман. Не ищите в нём цельного поэтического замысла, не ищите единства действия: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«Война и мир» — просто ряд характеров, ряд картин, то военных, то на поле битвы, то вседневных, в гостиных Петербурга и Москвы” [газ.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«Голос». 1868. № 11.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 1 («Библиография и журналистика».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подписи)].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Откликаясь на первые три тома, критик «Русского инвалида» (А. </w:t>
      </w:r>
      <w:proofErr w:type="spellStart"/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И-н</w:t>
      </w:r>
      <w:proofErr w:type="spellEnd"/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писал о «Войне и мире»: “Это — спокойная эпопея, написанная поэтом-художником, который выводит пред вами живые лица, анализирует их чувства, описывает их поступки с бесстрастием пушкинского Пимена.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Отсюда — достоинства и недостатки романа” [Журнальные и библиографические заметки.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«Война и мир». Сочинение графа Л.Н. Толстого. 3 тома.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М., 1868 // Русский инвалид. 1868. № 11].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недостатках будет сказано довольно подробно. “«Война и мир» не может быть «Илиадою», — пишет критик, — и гомеровское отношение к героям и жизни невозможно”. Современная жизнь сложна — и “невозможно с одинаковым спокойствием и самоуслаждением описывать и прелести псовой охоты вместе с достоинствами собаки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арая, и величественную красоту, и умение негодяя Анатоля держать себя, и туалет барышень, отправляющихся на бал, и страдания русского солдата, умирающего от жажды и голода в одной палате с разложившимися мертвецами, и такую ужасную бойню, как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Аустерлицкая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битва”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Там же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]. Как видим, критик вполне почувствовал жанровое своеобразие книги Толстого — и не захотел это своеобразие принять. 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Всё это писалось до окончания книги — последние тома вызвали ещё большие претензии: “Его роман, по нашему мнению, всё-таки остался не вполне оконченным, несмотря на то, что половина действующих в нём лиц перемёрла, а остальные сочетались между собою законным браком.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Точно будто самому автору надоело возиться со своими уцелевшими героями романа, и он, на скорую руку, свёл кое-как концы с концами, чтобы поскорее пуститься в свою бесконечную метафизику” [Петербургская газета. 1870. № 2.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Впрочем, Н.Соловьёв заметил, что книга Толстого — “какая-то поэма-роман, форма новая и столь же соответствующая обыкновенному ходу жизни, сколько и безграничная, как сама жизнь. Романом просто назвать «Войну и мир» нельзя: роман должен быть гораздо определённее в своих границах и прозаичнее в содержании: поэма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более свободный плод вдохновения стеснению никакому не подлежит”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Соловьёв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172].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Рецензент «Биржевых ведомостей» [1870. № 149 (суббота, 4 апреля).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Фельетон. «Война и мир». Сочинение графа Л.Н. Толстого. Том шестой. Москва. 1869.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3; без подписи], опережая будущих исследователей жанра «Войны и мира», писал: “...роман графа Толстого можно было бы в некотором отношении считать эпопеею великой народной войны, имеющею своих историков, но далеко не имевшею своего певца” (и в этой рецензии обнаруживается сравнение «Войны и мира» с «Илиадой»).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Впрочем, чуткий Страхов, первый и, наверное, единственный из современников сказавший о безусловной гениальности нового произведения Толстого, определил его жанр как “семейную хронику”, а в последней статье о «Войне и мире» написал, что это — “эпопея в современных формах искусства”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Страхов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224, 268].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Литература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ПСС–90 — Толстой Л.Н.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Полн. собр. соч.: В 90 т. М., 1928–1958.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Анненков — Анненков П.В.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Исторические и эстетические вопросы в романе гр. Л.Н. Толстого «Война и мир» // Роман Л.Н. Толстого «Война и мир» в русской критике. Л., 1989.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Бахтин–1979 — Бахтин М.М.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Проблемы поэтики Достоевского. М., 1979.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Бахтин–2000 — Бахтин М.М.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Эпос и роман. СПб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2000.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Бочаров–1963 — Бочаров С.Г.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Роман Л.Толстого «Война и мир». М., 1963.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 — 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Гачев</w:t>
      </w:r>
      <w:proofErr w:type="spellEnd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 Г.Д.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Содержательность художественных форм. М., 1968.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Горький — Горький М.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Полн. собр. соч.: В 25 т. М., 1968–1975.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Куприянова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Куприянова Е.Н.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проблематике и жанровой природе романа Л.Толстого «Война и мир» // Русская литература. 1985. № 1.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Лесскис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Лесскис</w:t>
      </w:r>
      <w:proofErr w:type="spellEnd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 xml:space="preserve"> Г.А.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Лев Толстой (1852–1869). М., 2000.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Соловьёв — Соловьёв Н.И.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Война или мир? // Роман Л.Н. Толстого «Война и мир» в русской критике. Л., 1989.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Страхов — Страхов Н.Н.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Война и мир. Сочинение графа Л.Н. Толстого. Томы I, II, III и IV // Роман Л.Н. Толстого «Война и мир» в русской критике. Л., 1989.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Шкловский–1928 — Шкловский В.Б.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Матерьял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стиль в романе Льва Толстого «Война и мир». М., 1928.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Эйхенбаум–1969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Эйхенбаум Б.М.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Черты летописного стиля в литературе XIX века //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Эйхенбаум Б.М.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 прозе. Л., 1969.</w:t>
      </w:r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</w:pPr>
      <w:r w:rsidRPr="004D1E49">
        <w:rPr>
          <w:rFonts w:ascii="Verdana" w:eastAsia="Times New Roman" w:hAnsi="Verdana" w:cs="Times New Roman"/>
          <w:b/>
          <w:bCs/>
          <w:color w:val="406CE3"/>
          <w:sz w:val="24"/>
          <w:szCs w:val="24"/>
          <w:lang w:eastAsia="ru-RU"/>
        </w:rPr>
        <w:t>Примечания</w:t>
      </w:r>
    </w:p>
    <w:bookmarkStart w:id="2" w:name="1a"/>
    <w:bookmarkEnd w:id="2"/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"http://lit.1september.ru/2007/04/15.htm" \l "1" </w:instrTex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D1E49">
        <w:rPr>
          <w:rFonts w:ascii="Verdana" w:eastAsia="Times New Roman" w:hAnsi="Verdana" w:cs="Times New Roman"/>
          <w:color w:val="6F3F01"/>
          <w:sz w:val="20"/>
          <w:szCs w:val="20"/>
          <w:u w:val="single"/>
          <w:lang w:eastAsia="ru-RU"/>
        </w:rPr>
        <w:t>1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См. русский перевод в книге: 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Фредерик Т. </w:t>
      </w:r>
      <w:proofErr w:type="spellStart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Гриффитс</w:t>
      </w:r>
      <w:proofErr w:type="spellEnd"/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, Стэнли Дж. Рабинович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Третий Рим. Классический эпос и русский роман (от Гоголя до Пастернака). СПб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2005. </w:t>
      </w:r>
    </w:p>
    <w:bookmarkStart w:id="3" w:name="2a"/>
    <w:bookmarkEnd w:id="3"/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"http://lit.1september.ru/2007/04/15.htm" \l "2" </w:instrTex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4D1E49">
        <w:rPr>
          <w:rFonts w:ascii="Verdana" w:eastAsia="Times New Roman" w:hAnsi="Verdana" w:cs="Times New Roman"/>
          <w:color w:val="6F3F01"/>
          <w:sz w:val="20"/>
          <w:szCs w:val="20"/>
          <w:u w:val="single"/>
          <w:lang w:eastAsia="ru-RU"/>
        </w:rPr>
        <w:t>2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“Народно-эпическая, сказочно-былинная тенденция, ясно определившаяся к концу романа, привела к появлению фигуры Платона Каратаева. Это было важно и необходимо для повышения жанра — для выведения его из исторического романа в народно-героическую эпопею. Рядом с этим естественно определился план лубочный, — и Наполеон приобрёл черты как бы выхваченные из народных картинок.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другой стороны, рассказ о Кутузове доведён к концу книги до агиографического стиля, что тоже было необходимо при определившемся повороте от романа к эпосу” [</w:t>
      </w:r>
      <w:r w:rsidRPr="004D1E49">
        <w:rPr>
          <w:rFonts w:ascii="Times" w:eastAsia="Times New Roman" w:hAnsi="Times" w:cs="Times"/>
          <w:i/>
          <w:iCs/>
          <w:color w:val="000000"/>
          <w:lang w:eastAsia="ru-RU"/>
        </w:rPr>
        <w:t>Эйхенбаум–1969</w:t>
      </w: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379].</w:t>
      </w:r>
      <w:proofErr w:type="gramEnd"/>
    </w:p>
    <w:p w:rsidR="004D1E49" w:rsidRPr="004D1E49" w:rsidRDefault="004D1E49" w:rsidP="004D1E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Спонсор публикации статьи – антивоенный портал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NoWar.ru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Все прогрессивное человечество выступает </w:t>
      </w:r>
      <w:hyperlink r:id="rId5" w:tooltip="против войны" w:history="1">
        <w:r w:rsidRPr="004D1E49">
          <w:rPr>
            <w:rFonts w:ascii="Verdana" w:eastAsia="Times New Roman" w:hAnsi="Verdana" w:cs="Times New Roman"/>
            <w:color w:val="6F3F01"/>
            <w:sz w:val="20"/>
            <w:szCs w:val="20"/>
            <w:u w:val="single"/>
            <w:lang w:eastAsia="ru-RU"/>
          </w:rPr>
          <w:t>против войны</w:t>
        </w:r>
      </w:hyperlink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но до сих пор война не стала пережитком прошлого. То и дело на планете возникают новые горячие точки. Новости о них и о попытках урегулировать вооруженные конфликты, о договоренностях в области разоружения из кулуаров и кабинетов политиков, репортажи с мест болевых действий – все это вы найдете на сайте </w:t>
      </w:r>
      <w:proofErr w:type="spellStart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NoWar.ru</w:t>
      </w:r>
      <w:proofErr w:type="spellEnd"/>
      <w:r w:rsidRPr="004D1E4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D1E49"/>
    <w:rsid w:val="003D728D"/>
    <w:rsid w:val="004A3CBF"/>
    <w:rsid w:val="004D1E49"/>
    <w:rsid w:val="006F12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1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D1E4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6F3F0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E49"/>
    <w:rPr>
      <w:rFonts w:ascii="Times New Roman" w:eastAsia="Times New Roman" w:hAnsi="Times New Roman" w:cs="Times New Roman"/>
      <w:b/>
      <w:bCs/>
      <w:color w:val="406CE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1E49"/>
    <w:rPr>
      <w:rFonts w:ascii="Times New Roman" w:eastAsia="Times New Roman" w:hAnsi="Times New Roman" w:cs="Times New Roman"/>
      <w:b/>
      <w:bCs/>
      <w:color w:val="6F3F0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1E49"/>
    <w:rPr>
      <w:color w:val="6F3F01"/>
      <w:u w:val="single"/>
      <w:shd w:val="clear" w:color="auto" w:fill="F4ECE2"/>
    </w:rPr>
  </w:style>
  <w:style w:type="paragraph" w:styleId="a4">
    <w:name w:val="Normal (Web)"/>
    <w:basedOn w:val="a"/>
    <w:uiPriority w:val="99"/>
    <w:semiHidden/>
    <w:unhideWhenUsed/>
    <w:rsid w:val="004D1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lirika">
    <w:name w:val="lirika"/>
    <w:basedOn w:val="a"/>
    <w:rsid w:val="004D1E4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D1E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743">
          <w:marLeft w:val="-3491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70019118">
              <w:marLeft w:val="87"/>
              <w:marRight w:val="87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0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19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067">
                      <w:marLeft w:val="87"/>
                      <w:marRight w:val="87"/>
                      <w:marTop w:val="87"/>
                      <w:marBottom w:val="87"/>
                      <w:divBdr>
                        <w:top w:val="single" w:sz="4" w:space="4" w:color="3300FF"/>
                        <w:left w:val="single" w:sz="4" w:space="4" w:color="3300FF"/>
                        <w:bottom w:val="single" w:sz="4" w:space="4" w:color="3300FF"/>
                        <w:right w:val="single" w:sz="4" w:space="4" w:color="3300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wa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3261</Words>
  <Characters>18591</Characters>
  <Application>Microsoft Office Word</Application>
  <DocSecurity>0</DocSecurity>
  <Lines>154</Lines>
  <Paragraphs>43</Paragraphs>
  <ScaleCrop>false</ScaleCrop>
  <Company>Microsoft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2014-05-18T15:42:00Z</dcterms:created>
  <dcterms:modified xsi:type="dcterms:W3CDTF">2014-05-18T17:43:00Z</dcterms:modified>
</cp:coreProperties>
</file>